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Ind w:w="-7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2316"/>
        <w:gridCol w:w="4422"/>
        <w:gridCol w:w="2118"/>
      </w:tblGrid>
      <w:tr w:rsidR="005A1DC7" w:rsidRPr="00512EB4">
        <w:trPr>
          <w:trHeight w:val="2320"/>
          <w:jc w:val="center"/>
        </w:trPr>
        <w:tc>
          <w:tcPr>
            <w:tcW w:w="1189" w:type="pct"/>
            <w:vAlign w:val="center"/>
          </w:tcPr>
          <w:p w:rsidR="005A1DC7" w:rsidRPr="00512EB4" w:rsidRDefault="005A1DC7" w:rsidP="00862F94">
            <w:pPr>
              <w:pStyle w:val="Title"/>
              <w:spacing w:after="100" w:afterAutospacing="1"/>
              <w:jc w:val="left"/>
              <w:rPr>
                <w:rFonts w:cs="Arial"/>
                <w:smallCaps/>
                <w:szCs w:val="22"/>
                <w:lang w:val="en-CA"/>
              </w:rPr>
            </w:pPr>
            <w:bookmarkStart w:id="0" w:name="_GoBack"/>
            <w:bookmarkEnd w:id="0"/>
            <w:r>
              <w:rPr>
                <w:rFonts w:cs="Arial"/>
                <w:smallCaps/>
                <w:noProof/>
                <w:szCs w:val="22"/>
              </w:rPr>
              <w:drawing>
                <wp:inline distT="0" distB="0" distL="0" distR="0">
                  <wp:extent cx="1311910" cy="445135"/>
                  <wp:effectExtent l="19050" t="0" r="2540" b="0"/>
                  <wp:docPr id="5" name="Picture 1" descr="JSMB-newlogo-eng-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SMB-newlogo-eng-red"/>
                          <pic:cNvPicPr>
                            <a:picLocks noChangeAspect="1" noChangeArrowheads="1"/>
                          </pic:cNvPicPr>
                        </pic:nvPicPr>
                        <pic:blipFill>
                          <a:blip r:embed="rId4" cstate="print"/>
                          <a:srcRect/>
                          <a:stretch>
                            <a:fillRect/>
                          </a:stretch>
                        </pic:blipFill>
                        <pic:spPr bwMode="auto">
                          <a:xfrm>
                            <a:off x="0" y="0"/>
                            <a:ext cx="1311910" cy="445135"/>
                          </a:xfrm>
                          <a:prstGeom prst="rect">
                            <a:avLst/>
                          </a:prstGeom>
                          <a:noFill/>
                          <a:ln w="9525">
                            <a:noFill/>
                            <a:miter lim="800000"/>
                            <a:headEnd/>
                            <a:tailEnd/>
                          </a:ln>
                        </pic:spPr>
                      </pic:pic>
                    </a:graphicData>
                  </a:graphic>
                </wp:inline>
              </w:drawing>
            </w:r>
          </w:p>
          <w:p w:rsidR="005A1DC7" w:rsidRPr="00512EB4" w:rsidRDefault="005A1DC7" w:rsidP="00862F94">
            <w:pPr>
              <w:spacing w:after="100" w:afterAutospacing="1"/>
              <w:jc w:val="center"/>
              <w:rPr>
                <w:rFonts w:cs="Arial"/>
                <w:b/>
                <w:color w:val="A50021"/>
                <w:sz w:val="18"/>
                <w:szCs w:val="17"/>
              </w:rPr>
            </w:pPr>
          </w:p>
          <w:p w:rsidR="005A1DC7" w:rsidRPr="00512EB4" w:rsidRDefault="005A1DC7" w:rsidP="00862F94">
            <w:pPr>
              <w:spacing w:after="100" w:afterAutospacing="1"/>
              <w:jc w:val="center"/>
              <w:rPr>
                <w:rFonts w:cs="Arial"/>
                <w:b/>
                <w:color w:val="A50021"/>
                <w:sz w:val="18"/>
                <w:szCs w:val="17"/>
              </w:rPr>
            </w:pPr>
            <w:r w:rsidRPr="00512EB4">
              <w:rPr>
                <w:rFonts w:cs="Arial"/>
                <w:b/>
                <w:color w:val="A50021"/>
                <w:sz w:val="18"/>
                <w:szCs w:val="17"/>
              </w:rPr>
              <w:t xml:space="preserve">Department of </w:t>
            </w:r>
          </w:p>
          <w:p w:rsidR="005A1DC7" w:rsidRPr="00512EB4" w:rsidRDefault="005A1DC7" w:rsidP="00862F94">
            <w:pPr>
              <w:spacing w:after="100" w:afterAutospacing="1"/>
              <w:jc w:val="center"/>
              <w:rPr>
                <w:rFonts w:cs="Arial"/>
                <w:b/>
                <w:color w:val="A50021"/>
                <w:sz w:val="18"/>
                <w:szCs w:val="17"/>
              </w:rPr>
            </w:pPr>
            <w:r w:rsidRPr="00512EB4">
              <w:rPr>
                <w:rFonts w:cs="Arial"/>
                <w:b/>
                <w:color w:val="A50021"/>
                <w:sz w:val="18"/>
                <w:szCs w:val="17"/>
              </w:rPr>
              <w:t>Decision Sciences</w:t>
            </w:r>
            <w:r w:rsidRPr="00512EB4">
              <w:rPr>
                <w:rFonts w:cs="Arial"/>
                <w:b/>
                <w:color w:val="A50021"/>
                <w:sz w:val="18"/>
                <w:szCs w:val="17"/>
              </w:rPr>
              <w:br/>
              <w:t>and MIS</w:t>
            </w:r>
          </w:p>
        </w:tc>
        <w:tc>
          <w:tcPr>
            <w:tcW w:w="2767" w:type="pct"/>
            <w:vAlign w:val="center"/>
          </w:tcPr>
          <w:p w:rsidR="005A1DC7" w:rsidRPr="00512EB4" w:rsidRDefault="005A1DC7" w:rsidP="00862F94">
            <w:pPr>
              <w:spacing w:after="100" w:afterAutospacing="1"/>
              <w:jc w:val="center"/>
              <w:rPr>
                <w:rFonts w:cs="Arial"/>
                <w:b/>
                <w:sz w:val="28"/>
                <w:szCs w:val="24"/>
              </w:rPr>
            </w:pPr>
            <w:r w:rsidRPr="00512EB4">
              <w:rPr>
                <w:rFonts w:cs="Arial"/>
                <w:b/>
                <w:sz w:val="28"/>
                <w:szCs w:val="24"/>
              </w:rPr>
              <w:t xml:space="preserve">COMM </w:t>
            </w:r>
            <w:r>
              <w:rPr>
                <w:rFonts w:cs="Arial"/>
                <w:b/>
                <w:sz w:val="28"/>
                <w:szCs w:val="24"/>
              </w:rPr>
              <w:t>226</w:t>
            </w:r>
          </w:p>
          <w:p w:rsidR="005A1DC7" w:rsidRPr="00512EB4" w:rsidRDefault="005A1DC7" w:rsidP="00862F94">
            <w:pPr>
              <w:pStyle w:val="BodyText2"/>
              <w:spacing w:after="100" w:afterAutospacing="1"/>
              <w:jc w:val="center"/>
              <w:rPr>
                <w:rFonts w:ascii="Arial" w:hAnsi="Arial" w:cs="Arial"/>
                <w:b/>
                <w:sz w:val="28"/>
                <w:szCs w:val="24"/>
                <w:lang w:val="en-CA"/>
              </w:rPr>
            </w:pPr>
            <w:r w:rsidRPr="00512EB4">
              <w:rPr>
                <w:rFonts w:ascii="Arial" w:hAnsi="Arial" w:cs="Arial"/>
                <w:b/>
                <w:bCs/>
                <w:sz w:val="28"/>
                <w:szCs w:val="24"/>
                <w:lang w:val="en-CA"/>
              </w:rPr>
              <w:t>Introduction to</w:t>
            </w:r>
            <w:r w:rsidRPr="00512EB4">
              <w:rPr>
                <w:rFonts w:ascii="Arial" w:hAnsi="Arial" w:cs="Arial"/>
                <w:b/>
                <w:bCs/>
                <w:sz w:val="28"/>
                <w:szCs w:val="24"/>
                <w:lang w:val="en-CA"/>
              </w:rPr>
              <w:br/>
              <w:t>Management Information Systems</w:t>
            </w:r>
          </w:p>
          <w:p w:rsidR="005A1DC7" w:rsidRPr="00512EB4" w:rsidRDefault="005A1DC7" w:rsidP="00862F94">
            <w:pPr>
              <w:pStyle w:val="Title"/>
              <w:spacing w:after="100" w:afterAutospacing="1"/>
              <w:rPr>
                <w:rFonts w:cs="Arial"/>
                <w:sz w:val="28"/>
                <w:szCs w:val="24"/>
                <w:lang w:val="en-CA"/>
              </w:rPr>
            </w:pPr>
            <w:r>
              <w:rPr>
                <w:rFonts w:cs="Arial"/>
                <w:sz w:val="28"/>
                <w:szCs w:val="24"/>
                <w:lang w:val="en-CA"/>
              </w:rPr>
              <w:t>Assignment 3</w:t>
            </w:r>
          </w:p>
          <w:p w:rsidR="005A1DC7" w:rsidRPr="00512EB4" w:rsidRDefault="005A1DC7" w:rsidP="00862F94">
            <w:pPr>
              <w:pStyle w:val="Title"/>
              <w:spacing w:after="100" w:afterAutospacing="1"/>
              <w:rPr>
                <w:rFonts w:cs="Arial"/>
                <w:szCs w:val="22"/>
                <w:lang w:val="en-CA"/>
              </w:rPr>
            </w:pPr>
            <w:r>
              <w:rPr>
                <w:rFonts w:cs="Arial"/>
                <w:sz w:val="28"/>
                <w:szCs w:val="24"/>
                <w:lang w:val="en-CA"/>
              </w:rPr>
              <w:t>Summer 2012 – Section BX, online</w:t>
            </w:r>
          </w:p>
        </w:tc>
        <w:tc>
          <w:tcPr>
            <w:tcW w:w="1043" w:type="pct"/>
            <w:vAlign w:val="center"/>
          </w:tcPr>
          <w:p w:rsidR="005A1DC7" w:rsidRPr="00512EB4" w:rsidRDefault="005A1DC7" w:rsidP="00862F94">
            <w:pPr>
              <w:pStyle w:val="Title"/>
              <w:spacing w:after="100" w:afterAutospacing="1"/>
              <w:ind w:right="342"/>
              <w:jc w:val="right"/>
              <w:rPr>
                <w:rFonts w:cs="Arial"/>
                <w:smallCaps/>
                <w:szCs w:val="22"/>
                <w:lang w:val="en-CA"/>
              </w:rPr>
            </w:pPr>
            <w:r>
              <w:rPr>
                <w:rFonts w:cs="Arial"/>
                <w:b w:val="0"/>
                <w:noProof/>
                <w:szCs w:val="22"/>
              </w:rPr>
              <w:drawing>
                <wp:inline distT="0" distB="0" distL="0" distR="0">
                  <wp:extent cx="970280" cy="914400"/>
                  <wp:effectExtent l="19050" t="0" r="1270" b="0"/>
                  <wp:docPr id="6" name="Picture 2" descr="aacsb_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acsb_icon"/>
                          <pic:cNvPicPr>
                            <a:picLocks noChangeAspect="1" noChangeArrowheads="1"/>
                          </pic:cNvPicPr>
                        </pic:nvPicPr>
                        <pic:blipFill>
                          <a:blip r:embed="rId5" cstate="print"/>
                          <a:srcRect/>
                          <a:stretch>
                            <a:fillRect/>
                          </a:stretch>
                        </pic:blipFill>
                        <pic:spPr bwMode="auto">
                          <a:xfrm>
                            <a:off x="0" y="0"/>
                            <a:ext cx="970280" cy="914400"/>
                          </a:xfrm>
                          <a:prstGeom prst="rect">
                            <a:avLst/>
                          </a:prstGeom>
                          <a:noFill/>
                          <a:ln w="9525">
                            <a:noFill/>
                            <a:miter lim="800000"/>
                            <a:headEnd/>
                            <a:tailEnd/>
                          </a:ln>
                        </pic:spPr>
                      </pic:pic>
                    </a:graphicData>
                  </a:graphic>
                </wp:inline>
              </w:drawing>
            </w:r>
          </w:p>
        </w:tc>
      </w:tr>
    </w:tbl>
    <w:p w:rsidR="005A1DC7" w:rsidRDefault="005A1DC7" w:rsidP="00163E7A">
      <w:pPr>
        <w:spacing w:after="0" w:line="360" w:lineRule="auto"/>
        <w:rPr>
          <w:b/>
        </w:rPr>
      </w:pPr>
    </w:p>
    <w:p w:rsidR="005A1DC7" w:rsidRDefault="00757649" w:rsidP="00163E7A">
      <w:pPr>
        <w:spacing w:after="0" w:line="360" w:lineRule="auto"/>
        <w:rPr>
          <w:b/>
        </w:rPr>
      </w:pPr>
      <w:r>
        <w:rPr>
          <w:b/>
        </w:rPr>
        <w:t>Group:</w:t>
      </w:r>
    </w:p>
    <w:p w:rsidR="00163E7A" w:rsidRDefault="00163E7A" w:rsidP="003A2B09">
      <w:pPr>
        <w:rPr>
          <w:color w:val="FF0000"/>
        </w:rPr>
      </w:pPr>
    </w:p>
    <w:p w:rsidR="00163E7A" w:rsidRPr="002D3745" w:rsidRDefault="002D3745" w:rsidP="003A2B09">
      <w:pPr>
        <w:rPr>
          <w:b/>
          <w:sz w:val="28"/>
          <w:szCs w:val="28"/>
        </w:rPr>
      </w:pPr>
      <w:r w:rsidRPr="002D3745">
        <w:rPr>
          <w:b/>
          <w:sz w:val="28"/>
          <w:szCs w:val="28"/>
        </w:rPr>
        <w:t>Part B:</w:t>
      </w:r>
    </w:p>
    <w:p w:rsidR="00163E7A" w:rsidRDefault="00163E7A" w:rsidP="003A2B09">
      <w:pPr>
        <w:rPr>
          <w:color w:val="FF0000"/>
        </w:rPr>
      </w:pPr>
    </w:p>
    <w:p w:rsidR="003A2B09" w:rsidRPr="00E678B3" w:rsidRDefault="003A2B09" w:rsidP="003A2B09">
      <w:pPr>
        <w:rPr>
          <w:b/>
          <w:color w:val="0070C0"/>
          <w:sz w:val="24"/>
          <w:szCs w:val="24"/>
        </w:rPr>
      </w:pPr>
      <w:proofErr w:type="spellStart"/>
      <w:r w:rsidRPr="00E678B3">
        <w:rPr>
          <w:b/>
          <w:color w:val="0070C0"/>
          <w:sz w:val="24"/>
          <w:szCs w:val="24"/>
        </w:rPr>
        <w:t>i</w:t>
      </w:r>
      <w:proofErr w:type="spellEnd"/>
      <w:r w:rsidRPr="00E678B3">
        <w:rPr>
          <w:b/>
          <w:color w:val="0070C0"/>
          <w:sz w:val="24"/>
          <w:szCs w:val="24"/>
        </w:rPr>
        <w:t>)</w:t>
      </w:r>
      <w:r w:rsidRPr="00E678B3">
        <w:rPr>
          <w:b/>
          <w:color w:val="0070C0"/>
          <w:sz w:val="24"/>
          <w:szCs w:val="24"/>
        </w:rPr>
        <w:tab/>
        <w:t xml:space="preserve">Why is material master one of the most complex types of data in an ERP system? </w:t>
      </w:r>
    </w:p>
    <w:p w:rsidR="00674769" w:rsidRPr="00674769" w:rsidRDefault="00674769" w:rsidP="003A2B09">
      <w:r>
        <w:t>Material data is one of the most complex types of data in the ERP system because it is associated with numerous stages of the production process such as procurement, inventory and production. The more process an entity is associated with, the more links and information are to be recorded.</w:t>
      </w:r>
    </w:p>
    <w:p w:rsidR="003A2B09" w:rsidRPr="00E678B3" w:rsidRDefault="003A2B09" w:rsidP="003A2B09">
      <w:pPr>
        <w:rPr>
          <w:b/>
          <w:color w:val="0070C0"/>
          <w:sz w:val="24"/>
          <w:szCs w:val="24"/>
        </w:rPr>
      </w:pPr>
      <w:r w:rsidRPr="00E678B3">
        <w:rPr>
          <w:b/>
          <w:color w:val="0070C0"/>
          <w:sz w:val="24"/>
          <w:szCs w:val="24"/>
        </w:rPr>
        <w:t>ii)</w:t>
      </w:r>
      <w:r w:rsidRPr="00E678B3">
        <w:rPr>
          <w:b/>
          <w:color w:val="0070C0"/>
          <w:sz w:val="24"/>
          <w:szCs w:val="24"/>
        </w:rPr>
        <w:tab/>
        <w:t>Provide some examples of data typically included in a material master for GBI case.</w:t>
      </w:r>
    </w:p>
    <w:p w:rsidR="00674769" w:rsidRPr="00674769" w:rsidRDefault="00674769" w:rsidP="003A2B09">
      <w:r>
        <w:t>Material master in GBI includes the raw materials used in the production of a bike, such a</w:t>
      </w:r>
      <w:r w:rsidR="003109F4">
        <w:t xml:space="preserve"> brake kit. General data such as material group and unit of measure are stored with the material master.</w:t>
      </w:r>
    </w:p>
    <w:p w:rsidR="003A2B09" w:rsidRPr="00E678B3" w:rsidRDefault="003A2B09" w:rsidP="003A2B09">
      <w:pPr>
        <w:rPr>
          <w:b/>
          <w:color w:val="0070C0"/>
          <w:sz w:val="24"/>
          <w:szCs w:val="24"/>
        </w:rPr>
      </w:pPr>
      <w:r w:rsidRPr="00E678B3">
        <w:rPr>
          <w:b/>
          <w:color w:val="0070C0"/>
          <w:sz w:val="24"/>
          <w:szCs w:val="24"/>
        </w:rPr>
        <w:t>iii)</w:t>
      </w:r>
      <w:r w:rsidRPr="00E678B3">
        <w:rPr>
          <w:b/>
          <w:color w:val="0070C0"/>
          <w:sz w:val="24"/>
          <w:szCs w:val="24"/>
        </w:rPr>
        <w:tab/>
        <w:t xml:space="preserve">What are material types? </w:t>
      </w:r>
    </w:p>
    <w:p w:rsidR="00674769" w:rsidRPr="00674769" w:rsidRDefault="00674769" w:rsidP="003A2B09">
      <w:r>
        <w:t>Material types are the different types of entities in the master data associated with different stages in the production process.</w:t>
      </w:r>
    </w:p>
    <w:p w:rsidR="003A2B09" w:rsidRPr="00E678B3" w:rsidRDefault="003A2B09" w:rsidP="003A2B09">
      <w:pPr>
        <w:rPr>
          <w:b/>
          <w:color w:val="0070C0"/>
          <w:sz w:val="24"/>
          <w:szCs w:val="24"/>
        </w:rPr>
      </w:pPr>
      <w:r w:rsidRPr="00E678B3">
        <w:rPr>
          <w:b/>
          <w:color w:val="0070C0"/>
          <w:sz w:val="24"/>
          <w:szCs w:val="24"/>
        </w:rPr>
        <w:t>iv)</w:t>
      </w:r>
      <w:r w:rsidRPr="00E678B3">
        <w:rPr>
          <w:b/>
          <w:color w:val="0070C0"/>
          <w:sz w:val="24"/>
          <w:szCs w:val="24"/>
        </w:rPr>
        <w:tab/>
        <w:t>Identify the four common material types in SAP ERP and provide an example of each for GBI case.</w:t>
      </w:r>
    </w:p>
    <w:p w:rsidR="0036604A" w:rsidRPr="0036604A" w:rsidRDefault="0036604A" w:rsidP="003A2B09">
      <w:r>
        <w:t xml:space="preserve">The four material types are Raw materials, </w:t>
      </w:r>
      <w:proofErr w:type="spellStart"/>
      <w:r>
        <w:t>Semifinished</w:t>
      </w:r>
      <w:proofErr w:type="spellEnd"/>
      <w:r>
        <w:t xml:space="preserve"> goods, Finished goods and Trading goods. A </w:t>
      </w:r>
      <w:r w:rsidR="00840525">
        <w:t>brake kit</w:t>
      </w:r>
      <w:r w:rsidR="00674769">
        <w:t xml:space="preserve"> would be an example of Raw materials in the</w:t>
      </w:r>
      <w:r>
        <w:t xml:space="preserve"> GBI case. </w:t>
      </w:r>
      <w:proofErr w:type="spellStart"/>
      <w:r w:rsidR="00840525">
        <w:t>Semifinished</w:t>
      </w:r>
      <w:proofErr w:type="spellEnd"/>
      <w:r w:rsidR="00840525">
        <w:t xml:space="preserve"> goods are materials in the production line, such as carbon composite wheel assembly. An example of Finished product</w:t>
      </w:r>
      <w:r w:rsidR="00674769">
        <w:t xml:space="preserve"> is Men’s off-road bike. An example of Trading goods</w:t>
      </w:r>
      <w:r w:rsidR="00840525">
        <w:t xml:space="preserve"> is an elbow pad. </w:t>
      </w:r>
    </w:p>
    <w:p w:rsidR="003A2B09" w:rsidRPr="00E678B3" w:rsidRDefault="003A2B09" w:rsidP="003A2B09">
      <w:pPr>
        <w:rPr>
          <w:b/>
          <w:color w:val="0070C0"/>
          <w:sz w:val="24"/>
          <w:szCs w:val="24"/>
        </w:rPr>
      </w:pPr>
      <w:r w:rsidRPr="00E678B3">
        <w:rPr>
          <w:b/>
          <w:color w:val="0070C0"/>
          <w:sz w:val="24"/>
          <w:szCs w:val="24"/>
        </w:rPr>
        <w:t>v)</w:t>
      </w:r>
      <w:r w:rsidRPr="00E678B3">
        <w:rPr>
          <w:b/>
          <w:color w:val="0070C0"/>
          <w:sz w:val="24"/>
          <w:szCs w:val="24"/>
        </w:rPr>
        <w:tab/>
        <w:t>Discuss the three types of data in an enterprise system and how they are related using GBI case.</w:t>
      </w:r>
    </w:p>
    <w:p w:rsidR="00C80237" w:rsidRDefault="00933C14" w:rsidP="003A2B09">
      <w:r>
        <w:t xml:space="preserve">The three types of data in an ERP system are organizational data, master data and transactional data. Organization data is the </w:t>
      </w:r>
      <w:r w:rsidR="00C80237">
        <w:t xml:space="preserve">element which models the structure </w:t>
      </w:r>
      <w:r>
        <w:t xml:space="preserve">of an organization. </w:t>
      </w:r>
      <w:r w:rsidR="00C80237">
        <w:t xml:space="preserve">In the case of GBI, the </w:t>
      </w:r>
      <w:r w:rsidR="00840525">
        <w:t>Dallas</w:t>
      </w:r>
      <w:r w:rsidR="00C80237">
        <w:t xml:space="preserve"> site and the </w:t>
      </w:r>
      <w:r w:rsidR="00840525">
        <w:t xml:space="preserve">Heidelberg </w:t>
      </w:r>
      <w:r w:rsidR="00C80237">
        <w:t>site would be two different entities in the organizational data. Once it is configured, organizational data does not change unless there is an organizational change in the company.</w:t>
      </w:r>
    </w:p>
    <w:p w:rsidR="00C80237" w:rsidRDefault="00C80237" w:rsidP="003A2B09">
      <w:r>
        <w:t>Examples of Master data are customer data, vendor data and material data. In the case of GBI, a finished product table would store the information about different products such as touring bike and off-road bike, and each colour model would be an individual entity.</w:t>
      </w:r>
    </w:p>
    <w:p w:rsidR="0085459E" w:rsidRPr="00933C14" w:rsidRDefault="0085459E" w:rsidP="003A2B09">
      <w:r>
        <w:t>Transactional data is often generated from the organization’s business activities, marrying master data such as customer data and material data</w:t>
      </w:r>
      <w:r w:rsidR="0036604A">
        <w:t xml:space="preserve"> to record a purchase transaction.</w:t>
      </w:r>
      <w:r>
        <w:t xml:space="preserve"> </w:t>
      </w:r>
    </w:p>
    <w:p w:rsidR="003A2B09" w:rsidRPr="00E678B3" w:rsidRDefault="003A2B09" w:rsidP="003A2B09">
      <w:pPr>
        <w:rPr>
          <w:b/>
          <w:color w:val="0070C0"/>
          <w:sz w:val="24"/>
          <w:szCs w:val="24"/>
        </w:rPr>
      </w:pPr>
      <w:r w:rsidRPr="00E678B3">
        <w:rPr>
          <w:b/>
          <w:color w:val="0070C0"/>
          <w:sz w:val="24"/>
          <w:szCs w:val="24"/>
        </w:rPr>
        <w:t>vi)</w:t>
      </w:r>
      <w:r w:rsidRPr="00E678B3">
        <w:rPr>
          <w:b/>
          <w:color w:val="0070C0"/>
          <w:sz w:val="24"/>
          <w:szCs w:val="24"/>
        </w:rPr>
        <w:tab/>
        <w:t xml:space="preserve">Discuss the difference between functional and process view of organization. </w:t>
      </w:r>
    </w:p>
    <w:p w:rsidR="000F5E8B" w:rsidRPr="000F5E8B" w:rsidRDefault="000F5E8B" w:rsidP="003A2B09">
      <w:r>
        <w:t>The functional view of an organization is a structural division of different department based on the function they perform. For example, in the case of GBI, co-CEO John is responsible for the Marketing, Finance and HR functions, while co-CEO Peter is responsible for R&amp;D and Operations. On the other hand, the process v</w:t>
      </w:r>
      <w:r w:rsidR="00A30BE5">
        <w:t>iew of an organization structures</w:t>
      </w:r>
      <w:r>
        <w:t xml:space="preserve"> based on </w:t>
      </w:r>
      <w:r w:rsidR="00A30BE5">
        <w:t>different</w:t>
      </w:r>
      <w:r>
        <w:t xml:space="preserve"> </w:t>
      </w:r>
      <w:r w:rsidR="00A30BE5">
        <w:t>stages of the production process. In the case of GBI, it is divided along the responsibilities of Idea-to-Market, Build-to-Stock, Order-to-Cash, and the overall Service and Support.</w:t>
      </w:r>
    </w:p>
    <w:p w:rsidR="00F903EA" w:rsidRPr="00E678B3" w:rsidRDefault="003A2B09" w:rsidP="003A2B09">
      <w:pPr>
        <w:rPr>
          <w:b/>
          <w:color w:val="0070C0"/>
          <w:sz w:val="24"/>
          <w:szCs w:val="24"/>
        </w:rPr>
      </w:pPr>
      <w:r w:rsidRPr="00E678B3">
        <w:rPr>
          <w:b/>
          <w:color w:val="0070C0"/>
          <w:sz w:val="24"/>
          <w:szCs w:val="24"/>
        </w:rPr>
        <w:t>vii)</w:t>
      </w:r>
      <w:r w:rsidRPr="00E678B3">
        <w:rPr>
          <w:b/>
          <w:color w:val="0070C0"/>
          <w:sz w:val="24"/>
          <w:szCs w:val="24"/>
        </w:rPr>
        <w:tab/>
        <w:t>In your own words, explain why an organization might choose to change its processes to fit the standard blueprint supply by the ERP vendors such as SAP.</w:t>
      </w:r>
    </w:p>
    <w:p w:rsidR="00A30BE5" w:rsidRPr="00A30BE5" w:rsidRDefault="00A30BE5" w:rsidP="003A2B09">
      <w:r>
        <w:t>Over the years, ERP vendors such as SAP must have studied a wide range of organization and identified an optimized process outlined by the ERP. The process defined by the standard blueprint supply by the ERP often indicates the most efficient process with minimal functional duplications. Deviation from the process is a good indication of inefficiencies or duplications in process or functions.</w:t>
      </w:r>
    </w:p>
    <w:sectPr w:rsidR="00A30BE5" w:rsidRPr="00A30BE5" w:rsidSect="00676DC3">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oofState w:spelling="clean" w:grammar="clean"/>
  <w:doNotTrackMoves/>
  <w:defaultTabStop w:val="720"/>
  <w:characterSpacingControl w:val="doNotCompress"/>
  <w:compat>
    <w:useFELayout/>
  </w:compat>
  <w:rsids>
    <w:rsidRoot w:val="003A2B09"/>
    <w:rsid w:val="000F5E8B"/>
    <w:rsid w:val="00163E7A"/>
    <w:rsid w:val="001D0A04"/>
    <w:rsid w:val="002D3745"/>
    <w:rsid w:val="003109F4"/>
    <w:rsid w:val="0036604A"/>
    <w:rsid w:val="003A2B09"/>
    <w:rsid w:val="003E4FE8"/>
    <w:rsid w:val="00487A67"/>
    <w:rsid w:val="004B5A2B"/>
    <w:rsid w:val="004C786B"/>
    <w:rsid w:val="005A1DC7"/>
    <w:rsid w:val="006545D4"/>
    <w:rsid w:val="00674769"/>
    <w:rsid w:val="00676DC3"/>
    <w:rsid w:val="00757649"/>
    <w:rsid w:val="00840525"/>
    <w:rsid w:val="0085459E"/>
    <w:rsid w:val="00933C14"/>
    <w:rsid w:val="009D7C69"/>
    <w:rsid w:val="00A30BE5"/>
    <w:rsid w:val="00BE74FF"/>
    <w:rsid w:val="00C80237"/>
    <w:rsid w:val="00C865B0"/>
    <w:rsid w:val="00E23600"/>
    <w:rsid w:val="00E678B3"/>
    <w:rsid w:val="00EA462C"/>
    <w:rsid w:val="00F50C44"/>
  </w:rsids>
  <m:mathPr>
    <m:mathFont m:val="Arial Unicode MS"/>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zh-TW"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5D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674769"/>
    <w:pPr>
      <w:ind w:left="720"/>
      <w:contextualSpacing/>
    </w:pPr>
  </w:style>
  <w:style w:type="paragraph" w:styleId="Title">
    <w:name w:val="Title"/>
    <w:basedOn w:val="Normal"/>
    <w:link w:val="TitleChar"/>
    <w:qFormat/>
    <w:rsid w:val="005A1DC7"/>
    <w:pPr>
      <w:spacing w:after="0" w:line="240" w:lineRule="auto"/>
      <w:jc w:val="center"/>
    </w:pPr>
    <w:rPr>
      <w:rFonts w:ascii="Arial" w:eastAsia="Times New Roman" w:hAnsi="Arial" w:cs="Times New Roman"/>
      <w:b/>
      <w:sz w:val="24"/>
      <w:szCs w:val="20"/>
      <w:lang w:val="en-US" w:eastAsia="en-US"/>
    </w:rPr>
  </w:style>
  <w:style w:type="character" w:customStyle="1" w:styleId="TitleChar">
    <w:name w:val="Title Char"/>
    <w:basedOn w:val="DefaultParagraphFont"/>
    <w:link w:val="Title"/>
    <w:rsid w:val="005A1DC7"/>
    <w:rPr>
      <w:rFonts w:ascii="Arial" w:eastAsia="Times New Roman" w:hAnsi="Arial" w:cs="Times New Roman"/>
      <w:b/>
      <w:sz w:val="24"/>
      <w:szCs w:val="20"/>
      <w:lang w:val="en-US" w:eastAsia="en-US"/>
    </w:rPr>
  </w:style>
  <w:style w:type="paragraph" w:styleId="BodyText2">
    <w:name w:val="Body Text 2"/>
    <w:basedOn w:val="Normal"/>
    <w:link w:val="BodyText2Char"/>
    <w:rsid w:val="005A1DC7"/>
    <w:pPr>
      <w:shd w:val="clear" w:color="auto" w:fill="FFFFFF"/>
      <w:spacing w:after="0" w:line="240" w:lineRule="auto"/>
      <w:jc w:val="both"/>
    </w:pPr>
    <w:rPr>
      <w:rFonts w:ascii="Comic Sans MS" w:eastAsia="Times New Roman" w:hAnsi="Comic Sans MS" w:cs="Times New Roman"/>
      <w:sz w:val="20"/>
      <w:szCs w:val="20"/>
      <w:lang w:val="en-US" w:eastAsia="en-US"/>
    </w:rPr>
  </w:style>
  <w:style w:type="character" w:customStyle="1" w:styleId="BodyText2Char">
    <w:name w:val="Body Text 2 Char"/>
    <w:basedOn w:val="DefaultParagraphFont"/>
    <w:link w:val="BodyText2"/>
    <w:rsid w:val="005A1DC7"/>
    <w:rPr>
      <w:rFonts w:ascii="Comic Sans MS" w:eastAsia="Times New Roman" w:hAnsi="Comic Sans MS" w:cs="Times New Roman"/>
      <w:sz w:val="20"/>
      <w:szCs w:val="20"/>
      <w:shd w:val="clear" w:color="auto" w:fill="FFFFFF"/>
      <w:lang w:val="en-US" w:eastAsia="en-US"/>
    </w:rPr>
  </w:style>
  <w:style w:type="paragraph" w:styleId="BalloonText">
    <w:name w:val="Balloon Text"/>
    <w:basedOn w:val="Normal"/>
    <w:link w:val="BalloonTextChar"/>
    <w:uiPriority w:val="99"/>
    <w:semiHidden/>
    <w:unhideWhenUsed/>
    <w:rsid w:val="005A1D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DC7"/>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TW"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4769"/>
    <w:pPr>
      <w:ind w:left="720"/>
      <w:contextualSpacing/>
    </w:pPr>
  </w:style>
  <w:style w:type="paragraph" w:styleId="Title">
    <w:name w:val="Title"/>
    <w:basedOn w:val="Normal"/>
    <w:link w:val="TitleChar"/>
    <w:qFormat/>
    <w:rsid w:val="005A1DC7"/>
    <w:pPr>
      <w:spacing w:after="0" w:line="240" w:lineRule="auto"/>
      <w:jc w:val="center"/>
    </w:pPr>
    <w:rPr>
      <w:rFonts w:ascii="Arial" w:eastAsia="Times New Roman" w:hAnsi="Arial" w:cs="Times New Roman"/>
      <w:b/>
      <w:sz w:val="24"/>
      <w:szCs w:val="20"/>
      <w:lang w:val="en-US" w:eastAsia="en-US"/>
    </w:rPr>
  </w:style>
  <w:style w:type="character" w:customStyle="1" w:styleId="TitleChar">
    <w:name w:val="Title Char"/>
    <w:basedOn w:val="DefaultParagraphFont"/>
    <w:link w:val="Title"/>
    <w:rsid w:val="005A1DC7"/>
    <w:rPr>
      <w:rFonts w:ascii="Arial" w:eastAsia="Times New Roman" w:hAnsi="Arial" w:cs="Times New Roman"/>
      <w:b/>
      <w:sz w:val="24"/>
      <w:szCs w:val="20"/>
      <w:lang w:val="en-US" w:eastAsia="en-US"/>
    </w:rPr>
  </w:style>
  <w:style w:type="paragraph" w:styleId="BodyText2">
    <w:name w:val="Body Text 2"/>
    <w:basedOn w:val="Normal"/>
    <w:link w:val="BodyText2Char"/>
    <w:rsid w:val="005A1DC7"/>
    <w:pPr>
      <w:shd w:val="clear" w:color="auto" w:fill="FFFFFF"/>
      <w:spacing w:after="0" w:line="240" w:lineRule="auto"/>
      <w:jc w:val="both"/>
    </w:pPr>
    <w:rPr>
      <w:rFonts w:ascii="Comic Sans MS" w:eastAsia="Times New Roman" w:hAnsi="Comic Sans MS" w:cs="Times New Roman"/>
      <w:sz w:val="20"/>
      <w:szCs w:val="20"/>
      <w:lang w:val="en-US" w:eastAsia="en-US"/>
    </w:rPr>
  </w:style>
  <w:style w:type="character" w:customStyle="1" w:styleId="BodyText2Char">
    <w:name w:val="Body Text 2 Char"/>
    <w:basedOn w:val="DefaultParagraphFont"/>
    <w:link w:val="BodyText2"/>
    <w:rsid w:val="005A1DC7"/>
    <w:rPr>
      <w:rFonts w:ascii="Comic Sans MS" w:eastAsia="Times New Roman" w:hAnsi="Comic Sans MS" w:cs="Times New Roman"/>
      <w:sz w:val="20"/>
      <w:szCs w:val="20"/>
      <w:shd w:val="clear" w:color="auto" w:fill="FFFFFF"/>
      <w:lang w:val="en-US" w:eastAsia="en-US"/>
    </w:rPr>
  </w:style>
  <w:style w:type="paragraph" w:styleId="BalloonText">
    <w:name w:val="Balloon Text"/>
    <w:basedOn w:val="Normal"/>
    <w:link w:val="BalloonTextChar"/>
    <w:uiPriority w:val="99"/>
    <w:semiHidden/>
    <w:unhideWhenUsed/>
    <w:rsid w:val="005A1D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D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image" Target="media/image2.jpeg"/><Relationship Id="rId6" Type="http://schemas.openxmlformats.org/officeDocument/2006/relationships/fontTable" Target="fontTable.xml"/><Relationship Id="rId7" Type="http://schemas.openxmlformats.org/officeDocument/2006/relationships/theme" Target="theme/theme1.xml"/><Relationship Id="rId8" Type="http://schemas.microsoft.com/office/2007/relationships/stylesWithEffects" Target="stylesWithEffects.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558</Words>
  <Characters>2905</Characters>
  <Application>Microsoft Macintosh Word</Application>
  <DocSecurity>0</DocSecurity>
  <Lines>76</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 226</dc:title>
  <dc:creator/>
  <cp:lastModifiedBy/>
  <cp:revision>4</cp:revision>
  <dcterms:created xsi:type="dcterms:W3CDTF">2012-08-09T00:28:00Z</dcterms:created>
  <dcterms:modified xsi:type="dcterms:W3CDTF">2013-10-03T02:36:00Z</dcterms:modified>
</cp:coreProperties>
</file>